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81" w:rsidRDefault="00A72C81" w:rsidP="00012E6C">
      <w:pPr>
        <w:pStyle w:val="NoSpacing"/>
        <w:rPr>
          <w:rFonts w:ascii="Arial" w:hAnsi="Arial" w:cs="Arial"/>
          <w:b/>
          <w:sz w:val="24"/>
          <w:szCs w:val="24"/>
        </w:rPr>
      </w:pPr>
    </w:p>
    <w:p w:rsidR="00A72C81" w:rsidRDefault="00A72C81" w:rsidP="00012E6C">
      <w:pPr>
        <w:pStyle w:val="NoSpacing"/>
        <w:rPr>
          <w:rFonts w:ascii="Arial" w:hAnsi="Arial" w:cs="Arial"/>
          <w:b/>
          <w:sz w:val="24"/>
          <w:szCs w:val="24"/>
        </w:rPr>
      </w:pPr>
    </w:p>
    <w:p w:rsidR="00A72C81" w:rsidRDefault="00A72C81" w:rsidP="00012E6C">
      <w:pPr>
        <w:pStyle w:val="NoSpacing"/>
        <w:rPr>
          <w:rFonts w:ascii="Arial" w:hAnsi="Arial" w:cs="Arial"/>
          <w:b/>
          <w:sz w:val="24"/>
          <w:szCs w:val="24"/>
        </w:rPr>
      </w:pPr>
    </w:p>
    <w:p w:rsidR="00012E6C" w:rsidRDefault="00540328" w:rsidP="00012E6C">
      <w:pPr>
        <w:pStyle w:val="NoSpacing"/>
        <w:rPr>
          <w:rFonts w:ascii="Arial" w:hAnsi="Arial" w:cs="Arial"/>
          <w:b/>
          <w:sz w:val="24"/>
          <w:szCs w:val="24"/>
        </w:rPr>
      </w:pPr>
      <w:r>
        <w:rPr>
          <w:rFonts w:ascii="Arial" w:hAnsi="Arial" w:cs="Arial"/>
          <w:b/>
          <w:sz w:val="24"/>
          <w:szCs w:val="24"/>
        </w:rPr>
        <w:t xml:space="preserve">GENDER PAY GAP REPORT </w:t>
      </w:r>
    </w:p>
    <w:p w:rsidR="00540328" w:rsidRDefault="00540328" w:rsidP="00012E6C">
      <w:pPr>
        <w:pStyle w:val="NoSpacing"/>
        <w:rPr>
          <w:rFonts w:ascii="Arial" w:eastAsia="Times New Roman" w:hAnsi="Arial" w:cs="Arial"/>
          <w:color w:val="943634" w:themeColor="accent2" w:themeShade="BF"/>
          <w:sz w:val="24"/>
          <w:szCs w:val="24"/>
          <w:lang w:eastAsia="en-GB"/>
        </w:rPr>
      </w:pPr>
    </w:p>
    <w:p w:rsidR="00012E6C" w:rsidRPr="00012E6C" w:rsidRDefault="00012E6C" w:rsidP="00E3066C">
      <w:pPr>
        <w:pStyle w:val="NoSpacing"/>
        <w:rPr>
          <w:rFonts w:ascii="Arial" w:eastAsia="Times New Roman" w:hAnsi="Arial" w:cs="Arial"/>
          <w:sz w:val="24"/>
          <w:szCs w:val="24"/>
          <w:lang w:eastAsia="en-GB"/>
        </w:rPr>
      </w:pPr>
      <w:r w:rsidRPr="00012E6C">
        <w:rPr>
          <w:rFonts w:ascii="Arial" w:eastAsia="Times New Roman" w:hAnsi="Arial" w:cs="Arial"/>
          <w:sz w:val="24"/>
          <w:szCs w:val="24"/>
          <w:lang w:eastAsia="en-GB"/>
        </w:rPr>
        <w:t>Oxford City Council is required by law to publish an annual gender pay gap report. The require information has been published on the Government’s website</w:t>
      </w:r>
      <w:r w:rsidR="0000799F">
        <w:rPr>
          <w:rFonts w:ascii="Arial" w:eastAsia="Times New Roman" w:hAnsi="Arial" w:cs="Arial"/>
          <w:sz w:val="24"/>
          <w:szCs w:val="24"/>
          <w:lang w:eastAsia="en-GB"/>
        </w:rPr>
        <w:t>.</w:t>
      </w:r>
    </w:p>
    <w:p w:rsidR="00012E6C" w:rsidRPr="00012E6C" w:rsidRDefault="00012E6C" w:rsidP="00E3066C">
      <w:pPr>
        <w:pStyle w:val="NoSpacing"/>
        <w:rPr>
          <w:rFonts w:ascii="Arial" w:eastAsia="Times New Roman" w:hAnsi="Arial" w:cs="Arial"/>
          <w:sz w:val="24"/>
          <w:szCs w:val="24"/>
          <w:lang w:eastAsia="en-GB"/>
        </w:rPr>
      </w:pPr>
    </w:p>
    <w:p w:rsidR="00012E6C" w:rsidRPr="00012E6C" w:rsidRDefault="00012E6C" w:rsidP="00E3066C">
      <w:pPr>
        <w:pStyle w:val="NoSpacing"/>
        <w:rPr>
          <w:rFonts w:ascii="Arial" w:eastAsia="Times New Roman" w:hAnsi="Arial" w:cs="Arial"/>
          <w:sz w:val="24"/>
          <w:szCs w:val="24"/>
          <w:lang w:eastAsia="en-GB"/>
        </w:rPr>
      </w:pPr>
      <w:r>
        <w:rPr>
          <w:rFonts w:ascii="Arial" w:eastAsia="Times New Roman" w:hAnsi="Arial" w:cs="Arial"/>
          <w:sz w:val="24"/>
          <w:szCs w:val="24"/>
          <w:lang w:eastAsia="en-GB"/>
        </w:rPr>
        <w:t>Our gender pay gap details for the</w:t>
      </w:r>
      <w:r w:rsidRPr="00012E6C">
        <w:rPr>
          <w:rFonts w:ascii="Arial" w:eastAsia="Times New Roman" w:hAnsi="Arial" w:cs="Arial"/>
          <w:sz w:val="24"/>
          <w:szCs w:val="24"/>
          <w:lang w:eastAsia="en-GB"/>
        </w:rPr>
        <w:t xml:space="preserve"> snapshot date of 31st</w:t>
      </w:r>
      <w:r>
        <w:rPr>
          <w:rFonts w:ascii="Arial" w:eastAsia="Times New Roman" w:hAnsi="Arial" w:cs="Arial"/>
          <w:sz w:val="24"/>
          <w:szCs w:val="24"/>
          <w:lang w:eastAsia="en-GB"/>
        </w:rPr>
        <w:t xml:space="preserve"> March 2017 are below.</w:t>
      </w:r>
    </w:p>
    <w:p w:rsidR="00012E6C" w:rsidRPr="00012E6C" w:rsidRDefault="00012E6C" w:rsidP="00E3066C">
      <w:pPr>
        <w:pStyle w:val="NoSpacing"/>
        <w:rPr>
          <w:rFonts w:ascii="Arial" w:eastAsia="Times New Roman" w:hAnsi="Arial" w:cs="Arial"/>
          <w:sz w:val="24"/>
          <w:szCs w:val="24"/>
          <w:lang w:eastAsia="en-GB"/>
        </w:rPr>
      </w:pPr>
    </w:p>
    <w:tbl>
      <w:tblPr>
        <w:tblStyle w:val="TableGrid"/>
        <w:tblW w:w="0" w:type="auto"/>
        <w:tblInd w:w="108" w:type="dxa"/>
        <w:tblLook w:val="04A0" w:firstRow="1" w:lastRow="0" w:firstColumn="1" w:lastColumn="0" w:noHBand="0" w:noVBand="1"/>
      </w:tblPr>
      <w:tblGrid>
        <w:gridCol w:w="9494"/>
      </w:tblGrid>
      <w:tr w:rsidR="00012E6C" w:rsidTr="00957920">
        <w:tc>
          <w:tcPr>
            <w:tcW w:w="9494" w:type="dxa"/>
            <w:vAlign w:val="center"/>
          </w:tcPr>
          <w:p w:rsidR="00E3066C" w:rsidRPr="00E3066C" w:rsidRDefault="00E3066C" w:rsidP="00E3066C">
            <w:pPr>
              <w:pStyle w:val="NoSpacing"/>
              <w:rPr>
                <w:rFonts w:ascii="Arial" w:eastAsia="Times New Roman" w:hAnsi="Arial" w:cs="Arial"/>
                <w:sz w:val="6"/>
                <w:szCs w:val="6"/>
                <w:lang w:eastAsia="en-GB"/>
              </w:rPr>
            </w:pPr>
          </w:p>
          <w:p w:rsidR="00012E6C" w:rsidRDefault="00E3066C" w:rsidP="00E3066C">
            <w:pPr>
              <w:pStyle w:val="NoSpacing"/>
              <w:rPr>
                <w:rFonts w:ascii="Arial" w:eastAsia="Times New Roman" w:hAnsi="Arial" w:cs="Arial"/>
                <w:sz w:val="24"/>
                <w:szCs w:val="24"/>
                <w:lang w:eastAsia="en-GB"/>
              </w:rPr>
            </w:pPr>
            <w:r>
              <w:rPr>
                <w:rFonts w:ascii="Arial" w:eastAsia="Times New Roman" w:hAnsi="Arial" w:cs="Arial"/>
                <w:sz w:val="24"/>
                <w:szCs w:val="24"/>
                <w:lang w:eastAsia="en-GB"/>
              </w:rPr>
              <w:t>M</w:t>
            </w:r>
            <w:r w:rsidR="00012E6C" w:rsidRPr="00012E6C">
              <w:rPr>
                <w:rFonts w:ascii="Arial" w:eastAsia="Times New Roman" w:hAnsi="Arial" w:cs="Arial"/>
                <w:sz w:val="24"/>
                <w:szCs w:val="24"/>
                <w:lang w:eastAsia="en-GB"/>
              </w:rPr>
              <w:t>ean gender pay gap</w:t>
            </w:r>
            <w:r w:rsidR="000A6F82">
              <w:rPr>
                <w:rFonts w:ascii="Arial" w:eastAsia="Times New Roman" w:hAnsi="Arial" w:cs="Arial"/>
                <w:sz w:val="24"/>
                <w:szCs w:val="24"/>
                <w:lang w:eastAsia="en-GB"/>
              </w:rPr>
              <w:t xml:space="preserve"> (basic pay)</w:t>
            </w:r>
            <w:r w:rsidR="00012E6C" w:rsidRPr="00012E6C">
              <w:rPr>
                <w:rFonts w:ascii="Arial" w:eastAsia="Times New Roman" w:hAnsi="Arial" w:cs="Arial"/>
                <w:sz w:val="24"/>
                <w:szCs w:val="24"/>
                <w:lang w:eastAsia="en-GB"/>
              </w:rPr>
              <w:t xml:space="preserve"> is 0.1%.</w:t>
            </w:r>
          </w:p>
          <w:p w:rsidR="00E3066C" w:rsidRPr="00E3066C" w:rsidRDefault="00E3066C" w:rsidP="00E3066C">
            <w:pPr>
              <w:pStyle w:val="NoSpacing"/>
              <w:rPr>
                <w:rFonts w:ascii="Arial" w:eastAsia="Times New Roman" w:hAnsi="Arial" w:cs="Arial"/>
                <w:sz w:val="6"/>
                <w:szCs w:val="6"/>
                <w:lang w:eastAsia="en-GB"/>
              </w:rPr>
            </w:pPr>
          </w:p>
        </w:tc>
      </w:tr>
      <w:tr w:rsidR="00012E6C" w:rsidTr="00957920">
        <w:tc>
          <w:tcPr>
            <w:tcW w:w="9494" w:type="dxa"/>
            <w:vAlign w:val="center"/>
          </w:tcPr>
          <w:p w:rsidR="00E3066C" w:rsidRPr="00E3066C" w:rsidRDefault="00E3066C" w:rsidP="00E3066C">
            <w:pPr>
              <w:pStyle w:val="NoSpacing"/>
              <w:rPr>
                <w:rFonts w:ascii="Arial" w:eastAsia="Times New Roman" w:hAnsi="Arial" w:cs="Arial"/>
                <w:sz w:val="6"/>
                <w:szCs w:val="6"/>
                <w:lang w:eastAsia="en-GB"/>
              </w:rPr>
            </w:pPr>
          </w:p>
          <w:p w:rsidR="00012E6C" w:rsidRDefault="00012E6C" w:rsidP="00E3066C">
            <w:pPr>
              <w:pStyle w:val="NoSpacing"/>
              <w:rPr>
                <w:rFonts w:ascii="Arial" w:eastAsia="Times New Roman" w:hAnsi="Arial" w:cs="Arial"/>
                <w:sz w:val="24"/>
                <w:szCs w:val="24"/>
                <w:lang w:eastAsia="en-GB"/>
              </w:rPr>
            </w:pPr>
            <w:r>
              <w:rPr>
                <w:rFonts w:ascii="Arial" w:eastAsia="Times New Roman" w:hAnsi="Arial" w:cs="Arial"/>
                <w:sz w:val="24"/>
                <w:szCs w:val="24"/>
                <w:lang w:eastAsia="en-GB"/>
              </w:rPr>
              <w:t>M</w:t>
            </w:r>
            <w:r w:rsidRPr="00012E6C">
              <w:rPr>
                <w:rFonts w:ascii="Arial" w:eastAsia="Times New Roman" w:hAnsi="Arial" w:cs="Arial"/>
                <w:sz w:val="24"/>
                <w:szCs w:val="24"/>
                <w:lang w:eastAsia="en-GB"/>
              </w:rPr>
              <w:t>edian gender pay gap</w:t>
            </w:r>
            <w:r w:rsidR="000A6F82">
              <w:rPr>
                <w:rFonts w:ascii="Arial" w:eastAsia="Times New Roman" w:hAnsi="Arial" w:cs="Arial"/>
                <w:sz w:val="24"/>
                <w:szCs w:val="24"/>
                <w:lang w:eastAsia="en-GB"/>
              </w:rPr>
              <w:t xml:space="preserve"> (basic pay)</w:t>
            </w:r>
            <w:r w:rsidRPr="00012E6C">
              <w:rPr>
                <w:rFonts w:ascii="Arial" w:eastAsia="Times New Roman" w:hAnsi="Arial" w:cs="Arial"/>
                <w:sz w:val="24"/>
                <w:szCs w:val="24"/>
                <w:lang w:eastAsia="en-GB"/>
              </w:rPr>
              <w:t xml:space="preserve"> is 0%</w:t>
            </w:r>
          </w:p>
          <w:p w:rsidR="00E3066C" w:rsidRPr="00E3066C" w:rsidRDefault="00E3066C" w:rsidP="00E3066C">
            <w:pPr>
              <w:pStyle w:val="NoSpacing"/>
              <w:rPr>
                <w:rFonts w:ascii="Arial" w:eastAsia="Times New Roman" w:hAnsi="Arial" w:cs="Arial"/>
                <w:sz w:val="6"/>
                <w:szCs w:val="6"/>
                <w:lang w:eastAsia="en-GB"/>
              </w:rPr>
            </w:pPr>
          </w:p>
        </w:tc>
      </w:tr>
      <w:tr w:rsidR="00012E6C" w:rsidTr="00957920">
        <w:tc>
          <w:tcPr>
            <w:tcW w:w="9494" w:type="dxa"/>
            <w:vAlign w:val="center"/>
          </w:tcPr>
          <w:p w:rsidR="00E3066C" w:rsidRPr="00E3066C" w:rsidRDefault="00E3066C" w:rsidP="00E3066C">
            <w:pPr>
              <w:pStyle w:val="NoSpacing"/>
              <w:rPr>
                <w:rFonts w:ascii="Arial" w:eastAsia="Times New Roman" w:hAnsi="Arial" w:cs="Arial"/>
                <w:sz w:val="6"/>
                <w:szCs w:val="6"/>
                <w:lang w:eastAsia="en-GB"/>
              </w:rPr>
            </w:pPr>
          </w:p>
          <w:p w:rsidR="00012E6C" w:rsidRDefault="00012E6C" w:rsidP="00E3066C">
            <w:pPr>
              <w:pStyle w:val="NoSpacing"/>
              <w:rPr>
                <w:rFonts w:ascii="Arial" w:eastAsia="Times New Roman" w:hAnsi="Arial" w:cs="Arial"/>
                <w:sz w:val="24"/>
                <w:szCs w:val="24"/>
                <w:lang w:eastAsia="en-GB"/>
              </w:rPr>
            </w:pPr>
            <w:r>
              <w:rPr>
                <w:rFonts w:ascii="Arial" w:eastAsia="Times New Roman" w:hAnsi="Arial" w:cs="Arial"/>
                <w:sz w:val="24"/>
                <w:szCs w:val="24"/>
                <w:lang w:eastAsia="en-GB"/>
              </w:rPr>
              <w:t>M</w:t>
            </w:r>
            <w:r w:rsidRPr="00012E6C">
              <w:rPr>
                <w:rFonts w:ascii="Arial" w:eastAsia="Times New Roman" w:hAnsi="Arial" w:cs="Arial"/>
                <w:sz w:val="24"/>
                <w:szCs w:val="24"/>
                <w:lang w:eastAsia="en-GB"/>
              </w:rPr>
              <w:t>ean gender bonus gap for -6.3%</w:t>
            </w:r>
          </w:p>
          <w:p w:rsidR="00E3066C" w:rsidRPr="00E3066C" w:rsidRDefault="00E3066C" w:rsidP="00E3066C">
            <w:pPr>
              <w:pStyle w:val="NoSpacing"/>
              <w:rPr>
                <w:rFonts w:ascii="Arial" w:eastAsia="Times New Roman" w:hAnsi="Arial" w:cs="Arial"/>
                <w:sz w:val="6"/>
                <w:szCs w:val="6"/>
                <w:lang w:eastAsia="en-GB"/>
              </w:rPr>
            </w:pPr>
          </w:p>
        </w:tc>
      </w:tr>
      <w:tr w:rsidR="00012E6C" w:rsidTr="00957920">
        <w:tc>
          <w:tcPr>
            <w:tcW w:w="9494" w:type="dxa"/>
            <w:vAlign w:val="center"/>
          </w:tcPr>
          <w:p w:rsidR="00E3066C" w:rsidRPr="00E3066C" w:rsidRDefault="00E3066C" w:rsidP="00E3066C">
            <w:pPr>
              <w:pStyle w:val="NoSpacing"/>
              <w:rPr>
                <w:rFonts w:ascii="Arial" w:eastAsia="Times New Roman" w:hAnsi="Arial" w:cs="Arial"/>
                <w:sz w:val="6"/>
                <w:szCs w:val="6"/>
                <w:lang w:eastAsia="en-GB"/>
              </w:rPr>
            </w:pPr>
          </w:p>
          <w:p w:rsidR="00012E6C" w:rsidRDefault="00012E6C" w:rsidP="00E3066C">
            <w:pPr>
              <w:pStyle w:val="NoSpacing"/>
              <w:rPr>
                <w:rFonts w:ascii="Arial" w:eastAsia="Times New Roman" w:hAnsi="Arial" w:cs="Arial"/>
                <w:sz w:val="24"/>
                <w:szCs w:val="24"/>
                <w:lang w:eastAsia="en-GB"/>
              </w:rPr>
            </w:pPr>
            <w:r>
              <w:rPr>
                <w:rFonts w:ascii="Arial" w:eastAsia="Times New Roman" w:hAnsi="Arial" w:cs="Arial"/>
                <w:sz w:val="24"/>
                <w:szCs w:val="24"/>
                <w:lang w:eastAsia="en-GB"/>
              </w:rPr>
              <w:t>M</w:t>
            </w:r>
            <w:r w:rsidRPr="00012E6C">
              <w:rPr>
                <w:rFonts w:ascii="Arial" w:eastAsia="Times New Roman" w:hAnsi="Arial" w:cs="Arial"/>
                <w:sz w:val="24"/>
                <w:szCs w:val="24"/>
                <w:lang w:eastAsia="en-GB"/>
              </w:rPr>
              <w:t>edian gender bonus gap is 19.5%</w:t>
            </w:r>
          </w:p>
          <w:p w:rsidR="00E3066C" w:rsidRPr="00E3066C" w:rsidRDefault="00E3066C" w:rsidP="00E3066C">
            <w:pPr>
              <w:pStyle w:val="NoSpacing"/>
              <w:rPr>
                <w:rFonts w:ascii="Arial" w:eastAsia="Times New Roman" w:hAnsi="Arial" w:cs="Arial"/>
                <w:sz w:val="6"/>
                <w:szCs w:val="6"/>
                <w:lang w:eastAsia="en-GB"/>
              </w:rPr>
            </w:pPr>
          </w:p>
        </w:tc>
      </w:tr>
      <w:tr w:rsidR="00012E6C" w:rsidTr="00957920">
        <w:tc>
          <w:tcPr>
            <w:tcW w:w="9494" w:type="dxa"/>
            <w:vAlign w:val="center"/>
          </w:tcPr>
          <w:p w:rsidR="00E3066C" w:rsidRPr="00E3066C" w:rsidRDefault="00E3066C" w:rsidP="00E3066C">
            <w:pPr>
              <w:pStyle w:val="NoSpacing"/>
              <w:rPr>
                <w:rFonts w:ascii="Arial" w:eastAsia="Times New Roman" w:hAnsi="Arial" w:cs="Arial"/>
                <w:sz w:val="6"/>
                <w:szCs w:val="6"/>
                <w:lang w:eastAsia="en-GB"/>
              </w:rPr>
            </w:pPr>
          </w:p>
          <w:p w:rsidR="00012E6C" w:rsidRDefault="00012E6C" w:rsidP="00E3066C">
            <w:pPr>
              <w:pStyle w:val="NoSpacing"/>
              <w:rPr>
                <w:rFonts w:ascii="Arial" w:eastAsia="Times New Roman" w:hAnsi="Arial" w:cs="Arial"/>
                <w:sz w:val="24"/>
                <w:szCs w:val="24"/>
                <w:lang w:eastAsia="en-GB"/>
              </w:rPr>
            </w:pPr>
            <w:r>
              <w:rPr>
                <w:rFonts w:ascii="Arial" w:eastAsia="Times New Roman" w:hAnsi="Arial" w:cs="Arial"/>
                <w:sz w:val="24"/>
                <w:szCs w:val="24"/>
                <w:lang w:eastAsia="en-GB"/>
              </w:rPr>
              <w:t>P</w:t>
            </w:r>
            <w:r w:rsidRPr="00012E6C">
              <w:rPr>
                <w:rFonts w:ascii="Arial" w:eastAsia="Times New Roman" w:hAnsi="Arial" w:cs="Arial"/>
                <w:sz w:val="24"/>
                <w:szCs w:val="24"/>
                <w:lang w:eastAsia="en-GB"/>
              </w:rPr>
              <w:t xml:space="preserve">roportion of male employees receiving a bonus </w:t>
            </w:r>
            <w:r>
              <w:rPr>
                <w:rFonts w:ascii="Arial" w:eastAsia="Times New Roman" w:hAnsi="Arial" w:cs="Arial"/>
                <w:sz w:val="24"/>
                <w:szCs w:val="24"/>
                <w:lang w:eastAsia="en-GB"/>
              </w:rPr>
              <w:t>is</w:t>
            </w:r>
            <w:r w:rsidRPr="00012E6C">
              <w:rPr>
                <w:rFonts w:ascii="Arial" w:eastAsia="Times New Roman" w:hAnsi="Arial" w:cs="Arial"/>
                <w:sz w:val="24"/>
                <w:szCs w:val="24"/>
                <w:lang w:eastAsia="en-GB"/>
              </w:rPr>
              <w:t xml:space="preserve"> 45.5% </w:t>
            </w:r>
          </w:p>
          <w:p w:rsidR="00E3066C" w:rsidRPr="00E3066C" w:rsidRDefault="00E3066C" w:rsidP="00E3066C">
            <w:pPr>
              <w:pStyle w:val="NoSpacing"/>
              <w:rPr>
                <w:rFonts w:ascii="Arial" w:eastAsia="Times New Roman" w:hAnsi="Arial" w:cs="Arial"/>
                <w:sz w:val="6"/>
                <w:szCs w:val="6"/>
                <w:lang w:eastAsia="en-GB"/>
              </w:rPr>
            </w:pPr>
          </w:p>
        </w:tc>
      </w:tr>
      <w:tr w:rsidR="00012E6C" w:rsidTr="00957920">
        <w:tc>
          <w:tcPr>
            <w:tcW w:w="9494" w:type="dxa"/>
            <w:vAlign w:val="center"/>
          </w:tcPr>
          <w:p w:rsidR="00E3066C" w:rsidRPr="00E3066C" w:rsidRDefault="00E3066C" w:rsidP="00E3066C">
            <w:pPr>
              <w:pStyle w:val="NoSpacing"/>
              <w:rPr>
                <w:rFonts w:ascii="Arial" w:eastAsia="Times New Roman" w:hAnsi="Arial" w:cs="Arial"/>
                <w:sz w:val="6"/>
                <w:szCs w:val="6"/>
                <w:lang w:eastAsia="en-GB"/>
              </w:rPr>
            </w:pPr>
          </w:p>
          <w:p w:rsidR="00012E6C" w:rsidRDefault="00012E6C" w:rsidP="00E3066C">
            <w:pPr>
              <w:pStyle w:val="NoSpacing"/>
              <w:rPr>
                <w:rFonts w:ascii="Arial" w:eastAsia="Times New Roman" w:hAnsi="Arial" w:cs="Arial"/>
                <w:sz w:val="24"/>
                <w:szCs w:val="24"/>
                <w:lang w:eastAsia="en-GB"/>
              </w:rPr>
            </w:pPr>
            <w:r>
              <w:rPr>
                <w:rFonts w:ascii="Arial" w:eastAsia="Times New Roman" w:hAnsi="Arial" w:cs="Arial"/>
                <w:sz w:val="24"/>
                <w:szCs w:val="24"/>
                <w:lang w:eastAsia="en-GB"/>
              </w:rPr>
              <w:t>P</w:t>
            </w:r>
            <w:r w:rsidRPr="00012E6C">
              <w:rPr>
                <w:rFonts w:ascii="Arial" w:eastAsia="Times New Roman" w:hAnsi="Arial" w:cs="Arial"/>
                <w:sz w:val="24"/>
                <w:szCs w:val="24"/>
                <w:lang w:eastAsia="en-GB"/>
              </w:rPr>
              <w:t xml:space="preserve">roportion of female employees receiving a bonus </w:t>
            </w:r>
            <w:r>
              <w:rPr>
                <w:rFonts w:ascii="Arial" w:eastAsia="Times New Roman" w:hAnsi="Arial" w:cs="Arial"/>
                <w:sz w:val="24"/>
                <w:szCs w:val="24"/>
                <w:lang w:eastAsia="en-GB"/>
              </w:rPr>
              <w:t xml:space="preserve">is </w:t>
            </w:r>
            <w:r w:rsidRPr="00012E6C">
              <w:rPr>
                <w:rFonts w:ascii="Arial" w:eastAsia="Times New Roman" w:hAnsi="Arial" w:cs="Arial"/>
                <w:sz w:val="24"/>
                <w:szCs w:val="24"/>
                <w:lang w:eastAsia="en-GB"/>
              </w:rPr>
              <w:t>42.3%</w:t>
            </w:r>
          </w:p>
          <w:p w:rsidR="00E3066C" w:rsidRPr="00E3066C" w:rsidRDefault="00E3066C" w:rsidP="00E3066C">
            <w:pPr>
              <w:pStyle w:val="NoSpacing"/>
              <w:rPr>
                <w:rFonts w:ascii="Arial" w:eastAsia="Times New Roman" w:hAnsi="Arial" w:cs="Arial"/>
                <w:sz w:val="6"/>
                <w:szCs w:val="6"/>
                <w:lang w:eastAsia="en-GB"/>
              </w:rPr>
            </w:pPr>
          </w:p>
        </w:tc>
      </w:tr>
    </w:tbl>
    <w:p w:rsidR="00012E6C" w:rsidRPr="00012E6C" w:rsidRDefault="00012E6C" w:rsidP="00E3066C">
      <w:pPr>
        <w:pStyle w:val="NoSpacing"/>
        <w:rPr>
          <w:rFonts w:ascii="Arial" w:eastAsia="Times New Roman" w:hAnsi="Arial" w:cs="Arial"/>
          <w:sz w:val="24"/>
          <w:szCs w:val="24"/>
          <w:lang w:eastAsia="en-GB"/>
        </w:rPr>
      </w:pPr>
      <w:r w:rsidRPr="00012E6C">
        <w:rPr>
          <w:rFonts w:ascii="Arial" w:eastAsia="Times New Roman" w:hAnsi="Arial" w:cs="Arial"/>
          <w:sz w:val="24"/>
          <w:szCs w:val="24"/>
          <w:lang w:eastAsia="en-GB"/>
        </w:rPr>
        <w:t>.</w:t>
      </w:r>
    </w:p>
    <w:p w:rsidR="00012E6C" w:rsidRPr="00012E6C" w:rsidRDefault="00012E6C" w:rsidP="00E3066C">
      <w:pPr>
        <w:pStyle w:val="NoSpacing"/>
        <w:rPr>
          <w:rFonts w:ascii="Arial" w:eastAsia="Times New Roman" w:hAnsi="Arial" w:cs="Arial"/>
          <w:b/>
          <w:sz w:val="24"/>
          <w:szCs w:val="24"/>
          <w:lang w:eastAsia="en-GB"/>
        </w:rPr>
      </w:pPr>
      <w:r w:rsidRPr="00012E6C">
        <w:rPr>
          <w:rFonts w:ascii="Arial" w:eastAsia="Times New Roman" w:hAnsi="Arial" w:cs="Arial"/>
          <w:b/>
          <w:sz w:val="24"/>
          <w:szCs w:val="24"/>
          <w:lang w:eastAsia="en-GB"/>
        </w:rPr>
        <w:t xml:space="preserve">Pay quartiles by gender </w:t>
      </w:r>
    </w:p>
    <w:p w:rsidR="00012E6C" w:rsidRPr="00012E6C" w:rsidRDefault="00012E6C" w:rsidP="00E3066C">
      <w:pPr>
        <w:pStyle w:val="NoSpacing"/>
        <w:rPr>
          <w:rFonts w:ascii="Arial" w:eastAsia="Times New Roman" w:hAnsi="Arial" w:cs="Arial"/>
          <w:sz w:val="24"/>
          <w:szCs w:val="24"/>
          <w:lang w:eastAsia="en-GB"/>
        </w:rPr>
      </w:pPr>
    </w:p>
    <w:tbl>
      <w:tblPr>
        <w:tblStyle w:val="TableGrid"/>
        <w:tblW w:w="0" w:type="auto"/>
        <w:tblInd w:w="108" w:type="dxa"/>
        <w:tblLook w:val="04A0" w:firstRow="1" w:lastRow="0" w:firstColumn="1" w:lastColumn="0" w:noHBand="0" w:noVBand="1"/>
      </w:tblPr>
      <w:tblGrid>
        <w:gridCol w:w="3621"/>
        <w:gridCol w:w="2900"/>
        <w:gridCol w:w="2977"/>
      </w:tblGrid>
      <w:tr w:rsidR="00012E6C" w:rsidRPr="00012E6C" w:rsidTr="00957920">
        <w:tc>
          <w:tcPr>
            <w:tcW w:w="3621" w:type="dxa"/>
          </w:tcPr>
          <w:p w:rsidR="00957920" w:rsidRPr="00957920" w:rsidRDefault="00957920" w:rsidP="00E3066C">
            <w:pPr>
              <w:pStyle w:val="NoSpacing"/>
              <w:rPr>
                <w:rFonts w:ascii="Arial" w:eastAsia="Times New Roman" w:hAnsi="Arial" w:cs="Arial"/>
                <w:b/>
                <w:bCs/>
                <w:sz w:val="6"/>
                <w:szCs w:val="6"/>
                <w:lang w:eastAsia="en-GB"/>
              </w:rPr>
            </w:pPr>
          </w:p>
          <w:p w:rsidR="00012E6C" w:rsidRPr="00012E6C" w:rsidRDefault="00012E6C" w:rsidP="00E3066C">
            <w:pPr>
              <w:pStyle w:val="NoSpacing"/>
              <w:rPr>
                <w:rFonts w:ascii="Arial" w:eastAsia="Times New Roman" w:hAnsi="Arial" w:cs="Arial"/>
                <w:b/>
                <w:bCs/>
                <w:sz w:val="24"/>
                <w:szCs w:val="24"/>
                <w:lang w:eastAsia="en-GB"/>
              </w:rPr>
            </w:pPr>
            <w:r w:rsidRPr="00012E6C">
              <w:rPr>
                <w:rFonts w:ascii="Arial" w:eastAsia="Times New Roman" w:hAnsi="Arial" w:cs="Arial"/>
                <w:b/>
                <w:bCs/>
                <w:sz w:val="24"/>
                <w:szCs w:val="24"/>
                <w:lang w:eastAsia="en-GB"/>
              </w:rPr>
              <w:t>Quartile</w:t>
            </w:r>
            <w:r>
              <w:rPr>
                <w:rFonts w:ascii="Arial" w:eastAsia="Times New Roman" w:hAnsi="Arial" w:cs="Arial"/>
                <w:b/>
                <w:bCs/>
                <w:sz w:val="24"/>
                <w:szCs w:val="24"/>
                <w:lang w:eastAsia="en-GB"/>
              </w:rPr>
              <w:t>*</w:t>
            </w:r>
          </w:p>
        </w:tc>
        <w:tc>
          <w:tcPr>
            <w:tcW w:w="2900" w:type="dxa"/>
          </w:tcPr>
          <w:p w:rsidR="00957920" w:rsidRPr="00957920" w:rsidRDefault="00957920" w:rsidP="00E3066C">
            <w:pPr>
              <w:pStyle w:val="NoSpacing"/>
              <w:jc w:val="center"/>
              <w:rPr>
                <w:rFonts w:ascii="Arial" w:eastAsia="Times New Roman" w:hAnsi="Arial" w:cs="Arial"/>
                <w:b/>
                <w:bCs/>
                <w:sz w:val="6"/>
                <w:szCs w:val="6"/>
                <w:lang w:eastAsia="en-GB"/>
              </w:rPr>
            </w:pPr>
          </w:p>
          <w:p w:rsidR="00012E6C" w:rsidRPr="00012E6C" w:rsidRDefault="00012E6C" w:rsidP="00E3066C">
            <w:pPr>
              <w:pStyle w:val="NoSpacing"/>
              <w:jc w:val="center"/>
              <w:rPr>
                <w:rFonts w:ascii="Arial" w:eastAsia="Times New Roman" w:hAnsi="Arial" w:cs="Arial"/>
                <w:b/>
                <w:bCs/>
                <w:sz w:val="24"/>
                <w:szCs w:val="24"/>
                <w:lang w:eastAsia="en-GB"/>
              </w:rPr>
            </w:pPr>
            <w:r w:rsidRPr="00012E6C">
              <w:rPr>
                <w:rFonts w:ascii="Arial" w:eastAsia="Times New Roman" w:hAnsi="Arial" w:cs="Arial"/>
                <w:b/>
                <w:bCs/>
                <w:sz w:val="24"/>
                <w:szCs w:val="24"/>
                <w:lang w:eastAsia="en-GB"/>
              </w:rPr>
              <w:t>Males %</w:t>
            </w:r>
          </w:p>
        </w:tc>
        <w:tc>
          <w:tcPr>
            <w:tcW w:w="2977" w:type="dxa"/>
          </w:tcPr>
          <w:p w:rsidR="00957920" w:rsidRPr="00957920" w:rsidRDefault="00957920" w:rsidP="00E3066C">
            <w:pPr>
              <w:pStyle w:val="NoSpacing"/>
              <w:jc w:val="center"/>
              <w:rPr>
                <w:rFonts w:ascii="Arial" w:eastAsia="Times New Roman" w:hAnsi="Arial" w:cs="Arial"/>
                <w:b/>
                <w:bCs/>
                <w:sz w:val="6"/>
                <w:szCs w:val="6"/>
                <w:lang w:eastAsia="en-GB"/>
              </w:rPr>
            </w:pPr>
          </w:p>
          <w:p w:rsidR="00012E6C" w:rsidRPr="00012E6C" w:rsidRDefault="00012E6C" w:rsidP="00E3066C">
            <w:pPr>
              <w:pStyle w:val="NoSpacing"/>
              <w:jc w:val="center"/>
              <w:rPr>
                <w:rFonts w:ascii="Arial" w:eastAsia="Times New Roman" w:hAnsi="Arial" w:cs="Arial"/>
                <w:b/>
                <w:bCs/>
                <w:sz w:val="24"/>
                <w:szCs w:val="24"/>
                <w:lang w:eastAsia="en-GB"/>
              </w:rPr>
            </w:pPr>
            <w:r w:rsidRPr="00012E6C">
              <w:rPr>
                <w:rFonts w:ascii="Arial" w:eastAsia="Times New Roman" w:hAnsi="Arial" w:cs="Arial"/>
                <w:b/>
                <w:bCs/>
                <w:sz w:val="24"/>
                <w:szCs w:val="24"/>
                <w:lang w:eastAsia="en-GB"/>
              </w:rPr>
              <w:t>Females %</w:t>
            </w:r>
          </w:p>
        </w:tc>
      </w:tr>
      <w:tr w:rsidR="00012E6C" w:rsidRPr="00012E6C" w:rsidTr="00957920">
        <w:tc>
          <w:tcPr>
            <w:tcW w:w="3621" w:type="dxa"/>
          </w:tcPr>
          <w:p w:rsidR="00957920" w:rsidRPr="00957920" w:rsidRDefault="00957920" w:rsidP="00E3066C">
            <w:pPr>
              <w:pStyle w:val="NoSpacing"/>
              <w:jc w:val="both"/>
              <w:rPr>
                <w:rFonts w:ascii="Arial" w:eastAsia="Times New Roman" w:hAnsi="Arial" w:cs="Arial"/>
                <w:bCs/>
                <w:sz w:val="6"/>
                <w:szCs w:val="6"/>
                <w:lang w:eastAsia="en-GB"/>
              </w:rPr>
            </w:pPr>
          </w:p>
          <w:p w:rsidR="00012E6C" w:rsidRPr="00012E6C" w:rsidRDefault="00012E6C" w:rsidP="00E3066C">
            <w:pPr>
              <w:pStyle w:val="NoSpacing"/>
              <w:jc w:val="both"/>
              <w:rPr>
                <w:rFonts w:ascii="Arial" w:eastAsia="Times New Roman" w:hAnsi="Arial" w:cs="Arial"/>
                <w:bCs/>
                <w:sz w:val="24"/>
                <w:szCs w:val="24"/>
                <w:lang w:eastAsia="en-GB"/>
              </w:rPr>
            </w:pPr>
            <w:r w:rsidRPr="00012E6C">
              <w:rPr>
                <w:rFonts w:ascii="Arial" w:eastAsia="Times New Roman" w:hAnsi="Arial" w:cs="Arial"/>
                <w:bCs/>
                <w:sz w:val="24"/>
                <w:szCs w:val="24"/>
                <w:lang w:eastAsia="en-GB"/>
              </w:rPr>
              <w:t>Top Quartile</w:t>
            </w:r>
          </w:p>
        </w:tc>
        <w:tc>
          <w:tcPr>
            <w:tcW w:w="2900" w:type="dxa"/>
          </w:tcPr>
          <w:p w:rsidR="00957920" w:rsidRPr="00957920" w:rsidRDefault="00957920" w:rsidP="00E3066C">
            <w:pPr>
              <w:pStyle w:val="NoSpacing"/>
              <w:jc w:val="center"/>
              <w:rPr>
                <w:rFonts w:ascii="Arial" w:eastAsia="Times New Roman" w:hAnsi="Arial" w:cs="Arial"/>
                <w:bCs/>
                <w:sz w:val="6"/>
                <w:szCs w:val="6"/>
                <w:lang w:eastAsia="en-GB"/>
              </w:rPr>
            </w:pPr>
          </w:p>
          <w:p w:rsidR="00012E6C" w:rsidRPr="00012E6C" w:rsidRDefault="00012E6C" w:rsidP="00E3066C">
            <w:pPr>
              <w:pStyle w:val="NoSpacing"/>
              <w:jc w:val="center"/>
              <w:rPr>
                <w:rFonts w:ascii="Arial" w:eastAsia="Times New Roman" w:hAnsi="Arial" w:cs="Arial"/>
                <w:bCs/>
                <w:sz w:val="24"/>
                <w:szCs w:val="24"/>
                <w:lang w:eastAsia="en-GB"/>
              </w:rPr>
            </w:pPr>
            <w:r w:rsidRPr="00012E6C">
              <w:rPr>
                <w:rFonts w:ascii="Arial" w:eastAsia="Times New Roman" w:hAnsi="Arial" w:cs="Arial"/>
                <w:bCs/>
                <w:sz w:val="24"/>
                <w:szCs w:val="24"/>
                <w:lang w:eastAsia="en-GB"/>
              </w:rPr>
              <w:t>67.6</w:t>
            </w:r>
          </w:p>
        </w:tc>
        <w:tc>
          <w:tcPr>
            <w:tcW w:w="2977" w:type="dxa"/>
          </w:tcPr>
          <w:p w:rsidR="00957920" w:rsidRPr="00957920" w:rsidRDefault="00957920" w:rsidP="00E3066C">
            <w:pPr>
              <w:pStyle w:val="NoSpacing"/>
              <w:jc w:val="center"/>
              <w:rPr>
                <w:rFonts w:ascii="Arial" w:eastAsia="Times New Roman" w:hAnsi="Arial" w:cs="Arial"/>
                <w:bCs/>
                <w:sz w:val="6"/>
                <w:szCs w:val="6"/>
                <w:lang w:eastAsia="en-GB"/>
              </w:rPr>
            </w:pPr>
          </w:p>
          <w:p w:rsidR="00012E6C" w:rsidRPr="00012E6C" w:rsidRDefault="00012E6C" w:rsidP="00E3066C">
            <w:pPr>
              <w:pStyle w:val="NoSpacing"/>
              <w:jc w:val="center"/>
              <w:rPr>
                <w:rFonts w:ascii="Arial" w:eastAsia="Times New Roman" w:hAnsi="Arial" w:cs="Arial"/>
                <w:bCs/>
                <w:sz w:val="24"/>
                <w:szCs w:val="24"/>
                <w:lang w:eastAsia="en-GB"/>
              </w:rPr>
            </w:pPr>
            <w:r w:rsidRPr="00012E6C">
              <w:rPr>
                <w:rFonts w:ascii="Arial" w:eastAsia="Times New Roman" w:hAnsi="Arial" w:cs="Arial"/>
                <w:bCs/>
                <w:sz w:val="24"/>
                <w:szCs w:val="24"/>
                <w:lang w:eastAsia="en-GB"/>
              </w:rPr>
              <w:t>32.4</w:t>
            </w:r>
          </w:p>
        </w:tc>
      </w:tr>
      <w:tr w:rsidR="00012E6C" w:rsidRPr="00012E6C" w:rsidTr="00957920">
        <w:tc>
          <w:tcPr>
            <w:tcW w:w="3621" w:type="dxa"/>
          </w:tcPr>
          <w:p w:rsidR="00957920" w:rsidRPr="00957920" w:rsidRDefault="00957920" w:rsidP="00E3066C">
            <w:pPr>
              <w:pStyle w:val="NoSpacing"/>
              <w:jc w:val="both"/>
              <w:rPr>
                <w:rFonts w:ascii="Arial" w:eastAsia="Times New Roman" w:hAnsi="Arial" w:cs="Arial"/>
                <w:bCs/>
                <w:sz w:val="6"/>
                <w:szCs w:val="6"/>
                <w:lang w:eastAsia="en-GB"/>
              </w:rPr>
            </w:pPr>
          </w:p>
          <w:p w:rsidR="00012E6C" w:rsidRDefault="00012E6C" w:rsidP="00E3066C">
            <w:pPr>
              <w:pStyle w:val="NoSpacing"/>
              <w:jc w:val="both"/>
              <w:rPr>
                <w:rFonts w:ascii="Arial" w:eastAsia="Times New Roman" w:hAnsi="Arial" w:cs="Arial"/>
                <w:bCs/>
                <w:sz w:val="24"/>
                <w:szCs w:val="24"/>
                <w:lang w:eastAsia="en-GB"/>
              </w:rPr>
            </w:pPr>
            <w:r w:rsidRPr="00012E6C">
              <w:rPr>
                <w:rFonts w:ascii="Arial" w:eastAsia="Times New Roman" w:hAnsi="Arial" w:cs="Arial"/>
                <w:bCs/>
                <w:sz w:val="24"/>
                <w:szCs w:val="24"/>
                <w:lang w:eastAsia="en-GB"/>
              </w:rPr>
              <w:t>Upper Middle Quartile</w:t>
            </w:r>
          </w:p>
          <w:p w:rsidR="00957920" w:rsidRPr="00957920" w:rsidRDefault="00957920" w:rsidP="00E3066C">
            <w:pPr>
              <w:pStyle w:val="NoSpacing"/>
              <w:jc w:val="both"/>
              <w:rPr>
                <w:rFonts w:ascii="Arial" w:eastAsia="Times New Roman" w:hAnsi="Arial" w:cs="Arial"/>
                <w:bCs/>
                <w:sz w:val="6"/>
                <w:szCs w:val="6"/>
                <w:lang w:eastAsia="en-GB"/>
              </w:rPr>
            </w:pPr>
          </w:p>
        </w:tc>
        <w:tc>
          <w:tcPr>
            <w:tcW w:w="2900" w:type="dxa"/>
          </w:tcPr>
          <w:p w:rsidR="00957920" w:rsidRPr="00957920" w:rsidRDefault="00957920" w:rsidP="00E3066C">
            <w:pPr>
              <w:pStyle w:val="NoSpacing"/>
              <w:jc w:val="center"/>
              <w:rPr>
                <w:rFonts w:ascii="Arial" w:eastAsia="Times New Roman" w:hAnsi="Arial" w:cs="Arial"/>
                <w:bCs/>
                <w:sz w:val="6"/>
                <w:szCs w:val="6"/>
                <w:lang w:eastAsia="en-GB"/>
              </w:rPr>
            </w:pPr>
          </w:p>
          <w:p w:rsidR="00012E6C" w:rsidRPr="00012E6C" w:rsidRDefault="00012E6C" w:rsidP="00E3066C">
            <w:pPr>
              <w:pStyle w:val="NoSpacing"/>
              <w:jc w:val="center"/>
              <w:rPr>
                <w:rFonts w:ascii="Arial" w:eastAsia="Times New Roman" w:hAnsi="Arial" w:cs="Arial"/>
                <w:bCs/>
                <w:sz w:val="24"/>
                <w:szCs w:val="24"/>
                <w:lang w:eastAsia="en-GB"/>
              </w:rPr>
            </w:pPr>
            <w:r w:rsidRPr="00012E6C">
              <w:rPr>
                <w:rFonts w:ascii="Arial" w:eastAsia="Times New Roman" w:hAnsi="Arial" w:cs="Arial"/>
                <w:bCs/>
                <w:sz w:val="24"/>
                <w:szCs w:val="24"/>
                <w:lang w:eastAsia="en-GB"/>
              </w:rPr>
              <w:t>63.2</w:t>
            </w:r>
          </w:p>
        </w:tc>
        <w:tc>
          <w:tcPr>
            <w:tcW w:w="2977" w:type="dxa"/>
          </w:tcPr>
          <w:p w:rsidR="00957920" w:rsidRPr="00957920" w:rsidRDefault="00957920" w:rsidP="00E3066C">
            <w:pPr>
              <w:pStyle w:val="NoSpacing"/>
              <w:jc w:val="center"/>
              <w:rPr>
                <w:rFonts w:ascii="Arial" w:eastAsia="Times New Roman" w:hAnsi="Arial" w:cs="Arial"/>
                <w:bCs/>
                <w:sz w:val="6"/>
                <w:szCs w:val="6"/>
                <w:lang w:eastAsia="en-GB"/>
              </w:rPr>
            </w:pPr>
          </w:p>
          <w:p w:rsidR="00012E6C" w:rsidRPr="00012E6C" w:rsidRDefault="00012E6C" w:rsidP="00E3066C">
            <w:pPr>
              <w:pStyle w:val="NoSpacing"/>
              <w:jc w:val="center"/>
              <w:rPr>
                <w:rFonts w:ascii="Arial" w:eastAsia="Times New Roman" w:hAnsi="Arial" w:cs="Arial"/>
                <w:bCs/>
                <w:sz w:val="24"/>
                <w:szCs w:val="24"/>
                <w:lang w:eastAsia="en-GB"/>
              </w:rPr>
            </w:pPr>
            <w:r w:rsidRPr="00012E6C">
              <w:rPr>
                <w:rFonts w:ascii="Arial" w:eastAsia="Times New Roman" w:hAnsi="Arial" w:cs="Arial"/>
                <w:bCs/>
                <w:sz w:val="24"/>
                <w:szCs w:val="24"/>
                <w:lang w:eastAsia="en-GB"/>
              </w:rPr>
              <w:t>36.8</w:t>
            </w:r>
          </w:p>
        </w:tc>
      </w:tr>
      <w:tr w:rsidR="00012E6C" w:rsidRPr="00012E6C" w:rsidTr="00957920">
        <w:tc>
          <w:tcPr>
            <w:tcW w:w="3621" w:type="dxa"/>
          </w:tcPr>
          <w:p w:rsidR="00957920" w:rsidRPr="00957920" w:rsidRDefault="00957920" w:rsidP="00E3066C">
            <w:pPr>
              <w:pStyle w:val="NoSpacing"/>
              <w:jc w:val="both"/>
              <w:rPr>
                <w:rFonts w:ascii="Arial" w:eastAsia="Times New Roman" w:hAnsi="Arial" w:cs="Arial"/>
                <w:bCs/>
                <w:sz w:val="6"/>
                <w:szCs w:val="6"/>
                <w:lang w:eastAsia="en-GB"/>
              </w:rPr>
            </w:pPr>
          </w:p>
          <w:p w:rsidR="00012E6C" w:rsidRDefault="00012E6C" w:rsidP="00E3066C">
            <w:pPr>
              <w:pStyle w:val="NoSpacing"/>
              <w:jc w:val="both"/>
              <w:rPr>
                <w:rFonts w:ascii="Arial" w:eastAsia="Times New Roman" w:hAnsi="Arial" w:cs="Arial"/>
                <w:bCs/>
                <w:sz w:val="24"/>
                <w:szCs w:val="24"/>
                <w:lang w:eastAsia="en-GB"/>
              </w:rPr>
            </w:pPr>
            <w:r w:rsidRPr="00012E6C">
              <w:rPr>
                <w:rFonts w:ascii="Arial" w:eastAsia="Times New Roman" w:hAnsi="Arial" w:cs="Arial"/>
                <w:bCs/>
                <w:sz w:val="24"/>
                <w:szCs w:val="24"/>
                <w:lang w:eastAsia="en-GB"/>
              </w:rPr>
              <w:t xml:space="preserve">Lower Middle Quartile </w:t>
            </w:r>
          </w:p>
          <w:p w:rsidR="00957920" w:rsidRPr="00957920" w:rsidRDefault="00957920" w:rsidP="00E3066C">
            <w:pPr>
              <w:pStyle w:val="NoSpacing"/>
              <w:jc w:val="both"/>
              <w:rPr>
                <w:rFonts w:ascii="Arial" w:eastAsia="Times New Roman" w:hAnsi="Arial" w:cs="Arial"/>
                <w:bCs/>
                <w:sz w:val="6"/>
                <w:szCs w:val="6"/>
                <w:lang w:eastAsia="en-GB"/>
              </w:rPr>
            </w:pPr>
          </w:p>
        </w:tc>
        <w:tc>
          <w:tcPr>
            <w:tcW w:w="2900" w:type="dxa"/>
          </w:tcPr>
          <w:p w:rsidR="00957920" w:rsidRPr="00957920" w:rsidRDefault="00957920" w:rsidP="00E3066C">
            <w:pPr>
              <w:pStyle w:val="NoSpacing"/>
              <w:jc w:val="center"/>
              <w:rPr>
                <w:rFonts w:ascii="Arial" w:eastAsia="Times New Roman" w:hAnsi="Arial" w:cs="Arial"/>
                <w:bCs/>
                <w:sz w:val="6"/>
                <w:szCs w:val="6"/>
                <w:lang w:eastAsia="en-GB"/>
              </w:rPr>
            </w:pPr>
          </w:p>
          <w:p w:rsidR="00012E6C" w:rsidRPr="00012E6C" w:rsidRDefault="00012E6C" w:rsidP="00E3066C">
            <w:pPr>
              <w:pStyle w:val="NoSpacing"/>
              <w:jc w:val="center"/>
              <w:rPr>
                <w:rFonts w:ascii="Arial" w:eastAsia="Times New Roman" w:hAnsi="Arial" w:cs="Arial"/>
                <w:bCs/>
                <w:sz w:val="24"/>
                <w:szCs w:val="24"/>
                <w:lang w:eastAsia="en-GB"/>
              </w:rPr>
            </w:pPr>
            <w:r w:rsidRPr="00012E6C">
              <w:rPr>
                <w:rFonts w:ascii="Arial" w:eastAsia="Times New Roman" w:hAnsi="Arial" w:cs="Arial"/>
                <w:bCs/>
                <w:sz w:val="24"/>
                <w:szCs w:val="24"/>
                <w:lang w:eastAsia="en-GB"/>
              </w:rPr>
              <w:t>59.6</w:t>
            </w:r>
          </w:p>
        </w:tc>
        <w:tc>
          <w:tcPr>
            <w:tcW w:w="2977" w:type="dxa"/>
          </w:tcPr>
          <w:p w:rsidR="00957920" w:rsidRPr="00957920" w:rsidRDefault="00957920" w:rsidP="00957920">
            <w:pPr>
              <w:pStyle w:val="NoSpacing"/>
              <w:rPr>
                <w:rFonts w:ascii="Arial" w:eastAsia="Times New Roman" w:hAnsi="Arial" w:cs="Arial"/>
                <w:bCs/>
                <w:sz w:val="6"/>
                <w:szCs w:val="6"/>
                <w:lang w:eastAsia="en-GB"/>
              </w:rPr>
            </w:pPr>
          </w:p>
          <w:p w:rsidR="00012E6C" w:rsidRPr="00012E6C" w:rsidRDefault="00012E6C" w:rsidP="00E3066C">
            <w:pPr>
              <w:pStyle w:val="NoSpacing"/>
              <w:jc w:val="center"/>
              <w:rPr>
                <w:rFonts w:ascii="Arial" w:eastAsia="Times New Roman" w:hAnsi="Arial" w:cs="Arial"/>
                <w:bCs/>
                <w:sz w:val="24"/>
                <w:szCs w:val="24"/>
                <w:lang w:eastAsia="en-GB"/>
              </w:rPr>
            </w:pPr>
            <w:r w:rsidRPr="00012E6C">
              <w:rPr>
                <w:rFonts w:ascii="Arial" w:eastAsia="Times New Roman" w:hAnsi="Arial" w:cs="Arial"/>
                <w:bCs/>
                <w:sz w:val="24"/>
                <w:szCs w:val="24"/>
                <w:lang w:eastAsia="en-GB"/>
              </w:rPr>
              <w:t>40.4</w:t>
            </w:r>
          </w:p>
        </w:tc>
      </w:tr>
      <w:tr w:rsidR="00012E6C" w:rsidRPr="00012E6C" w:rsidTr="00957920">
        <w:tc>
          <w:tcPr>
            <w:tcW w:w="3621" w:type="dxa"/>
          </w:tcPr>
          <w:p w:rsidR="00957920" w:rsidRPr="00957920" w:rsidRDefault="00957920" w:rsidP="00E3066C">
            <w:pPr>
              <w:pStyle w:val="NoSpacing"/>
              <w:jc w:val="both"/>
              <w:rPr>
                <w:rFonts w:ascii="Arial" w:eastAsia="Times New Roman" w:hAnsi="Arial" w:cs="Arial"/>
                <w:bCs/>
                <w:sz w:val="6"/>
                <w:szCs w:val="6"/>
                <w:lang w:eastAsia="en-GB"/>
              </w:rPr>
            </w:pPr>
          </w:p>
          <w:p w:rsidR="00957920" w:rsidRDefault="00012E6C" w:rsidP="00E3066C">
            <w:pPr>
              <w:pStyle w:val="NoSpacing"/>
              <w:jc w:val="both"/>
              <w:rPr>
                <w:rFonts w:ascii="Arial" w:eastAsia="Times New Roman" w:hAnsi="Arial" w:cs="Arial"/>
                <w:bCs/>
                <w:sz w:val="24"/>
                <w:szCs w:val="24"/>
                <w:lang w:eastAsia="en-GB"/>
              </w:rPr>
            </w:pPr>
            <w:r w:rsidRPr="00012E6C">
              <w:rPr>
                <w:rFonts w:ascii="Arial" w:eastAsia="Times New Roman" w:hAnsi="Arial" w:cs="Arial"/>
                <w:bCs/>
                <w:sz w:val="24"/>
                <w:szCs w:val="24"/>
                <w:lang w:eastAsia="en-GB"/>
              </w:rPr>
              <w:t>Lower Quartile</w:t>
            </w:r>
          </w:p>
          <w:p w:rsidR="00957920" w:rsidRPr="00957920" w:rsidRDefault="00957920" w:rsidP="00E3066C">
            <w:pPr>
              <w:pStyle w:val="NoSpacing"/>
              <w:jc w:val="both"/>
              <w:rPr>
                <w:rFonts w:ascii="Arial" w:eastAsia="Times New Roman" w:hAnsi="Arial" w:cs="Arial"/>
                <w:bCs/>
                <w:sz w:val="6"/>
                <w:szCs w:val="6"/>
                <w:lang w:eastAsia="en-GB"/>
              </w:rPr>
            </w:pPr>
          </w:p>
        </w:tc>
        <w:tc>
          <w:tcPr>
            <w:tcW w:w="2900" w:type="dxa"/>
          </w:tcPr>
          <w:p w:rsidR="00957920" w:rsidRPr="00957920" w:rsidRDefault="00957920" w:rsidP="00E3066C">
            <w:pPr>
              <w:pStyle w:val="NoSpacing"/>
              <w:jc w:val="center"/>
              <w:rPr>
                <w:rFonts w:ascii="Arial" w:eastAsia="Times New Roman" w:hAnsi="Arial" w:cs="Arial"/>
                <w:bCs/>
                <w:sz w:val="6"/>
                <w:szCs w:val="6"/>
                <w:lang w:eastAsia="en-GB"/>
              </w:rPr>
            </w:pPr>
          </w:p>
          <w:p w:rsidR="00012E6C" w:rsidRPr="00012E6C" w:rsidRDefault="00012E6C" w:rsidP="00E3066C">
            <w:pPr>
              <w:pStyle w:val="NoSpacing"/>
              <w:jc w:val="center"/>
              <w:rPr>
                <w:rFonts w:ascii="Arial" w:eastAsia="Times New Roman" w:hAnsi="Arial" w:cs="Arial"/>
                <w:bCs/>
                <w:sz w:val="24"/>
                <w:szCs w:val="24"/>
                <w:lang w:eastAsia="en-GB"/>
              </w:rPr>
            </w:pPr>
            <w:r w:rsidRPr="00012E6C">
              <w:rPr>
                <w:rFonts w:ascii="Arial" w:eastAsia="Times New Roman" w:hAnsi="Arial" w:cs="Arial"/>
                <w:bCs/>
                <w:sz w:val="24"/>
                <w:szCs w:val="24"/>
                <w:lang w:eastAsia="en-GB"/>
              </w:rPr>
              <w:t>71.3</w:t>
            </w:r>
          </w:p>
        </w:tc>
        <w:tc>
          <w:tcPr>
            <w:tcW w:w="2977" w:type="dxa"/>
          </w:tcPr>
          <w:p w:rsidR="00957920" w:rsidRPr="00957920" w:rsidRDefault="00957920" w:rsidP="00E3066C">
            <w:pPr>
              <w:pStyle w:val="NoSpacing"/>
              <w:jc w:val="center"/>
              <w:rPr>
                <w:rFonts w:ascii="Arial" w:eastAsia="Times New Roman" w:hAnsi="Arial" w:cs="Arial"/>
                <w:bCs/>
                <w:sz w:val="6"/>
                <w:szCs w:val="6"/>
                <w:lang w:eastAsia="en-GB"/>
              </w:rPr>
            </w:pPr>
          </w:p>
          <w:p w:rsidR="00012E6C" w:rsidRPr="00012E6C" w:rsidRDefault="00012E6C" w:rsidP="00E3066C">
            <w:pPr>
              <w:pStyle w:val="NoSpacing"/>
              <w:jc w:val="center"/>
              <w:rPr>
                <w:rFonts w:ascii="Arial" w:eastAsia="Times New Roman" w:hAnsi="Arial" w:cs="Arial"/>
                <w:bCs/>
                <w:sz w:val="24"/>
                <w:szCs w:val="24"/>
                <w:lang w:eastAsia="en-GB"/>
              </w:rPr>
            </w:pPr>
            <w:r w:rsidRPr="00012E6C">
              <w:rPr>
                <w:rFonts w:ascii="Arial" w:eastAsia="Times New Roman" w:hAnsi="Arial" w:cs="Arial"/>
                <w:bCs/>
                <w:sz w:val="24"/>
                <w:szCs w:val="24"/>
                <w:lang w:eastAsia="en-GB"/>
              </w:rPr>
              <w:t>28.7</w:t>
            </w:r>
          </w:p>
        </w:tc>
      </w:tr>
    </w:tbl>
    <w:p w:rsidR="00012E6C" w:rsidRPr="00012E6C" w:rsidRDefault="00012E6C" w:rsidP="00E3066C">
      <w:pPr>
        <w:pStyle w:val="NoSpacing"/>
        <w:rPr>
          <w:rFonts w:ascii="Arial" w:eastAsia="Times New Roman" w:hAnsi="Arial" w:cs="Arial"/>
          <w:sz w:val="24"/>
          <w:szCs w:val="24"/>
          <w:lang w:eastAsia="en-GB"/>
        </w:rPr>
      </w:pPr>
    </w:p>
    <w:p w:rsidR="00012E6C" w:rsidRDefault="00012E6C" w:rsidP="00E3066C">
      <w:pPr>
        <w:pStyle w:val="NoSpacing"/>
        <w:rPr>
          <w:rFonts w:ascii="Arial" w:eastAsia="Times New Roman" w:hAnsi="Arial" w:cs="Arial"/>
          <w:sz w:val="24"/>
          <w:szCs w:val="24"/>
          <w:lang w:eastAsia="en-GB"/>
        </w:rPr>
      </w:pPr>
      <w:r w:rsidRPr="00012E6C">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012E6C">
        <w:rPr>
          <w:rFonts w:ascii="Arial" w:eastAsia="Times New Roman" w:hAnsi="Arial" w:cs="Arial"/>
          <w:sz w:val="24"/>
          <w:szCs w:val="24"/>
          <w:lang w:eastAsia="en-GB"/>
        </w:rPr>
        <w:t xml:space="preserve">Each quartile represents a quarter of the workforce which has been ranked in order from the lowest to highest paid </w:t>
      </w:r>
      <w:r w:rsidR="00476A1A" w:rsidRPr="00012E6C">
        <w:rPr>
          <w:rFonts w:ascii="Arial" w:eastAsia="Times New Roman" w:hAnsi="Arial" w:cs="Arial"/>
          <w:sz w:val="24"/>
          <w:szCs w:val="24"/>
          <w:lang w:eastAsia="en-GB"/>
        </w:rPr>
        <w:t>i.e.</w:t>
      </w:r>
      <w:r w:rsidRPr="00012E6C">
        <w:rPr>
          <w:rFonts w:ascii="Arial" w:eastAsia="Times New Roman" w:hAnsi="Arial" w:cs="Arial"/>
          <w:sz w:val="24"/>
          <w:szCs w:val="24"/>
          <w:lang w:eastAsia="en-GB"/>
        </w:rPr>
        <w:t xml:space="preserve"> the top quartile represents the top 25% of employees by pay.</w:t>
      </w:r>
    </w:p>
    <w:p w:rsidR="00012E6C" w:rsidRDefault="00012E6C" w:rsidP="00E3066C">
      <w:pPr>
        <w:pStyle w:val="NoSpacing"/>
        <w:rPr>
          <w:rFonts w:ascii="Arial" w:eastAsia="Times New Roman" w:hAnsi="Arial" w:cs="Arial"/>
          <w:sz w:val="24"/>
          <w:szCs w:val="24"/>
          <w:lang w:eastAsia="en-GB"/>
        </w:rPr>
      </w:pPr>
    </w:p>
    <w:p w:rsidR="0000799F" w:rsidRDefault="0000799F" w:rsidP="00E3066C">
      <w:pPr>
        <w:pStyle w:val="NoSpacing"/>
        <w:rPr>
          <w:rFonts w:ascii="Arial" w:eastAsia="Times New Roman" w:hAnsi="Arial" w:cs="Arial"/>
          <w:sz w:val="24"/>
          <w:szCs w:val="24"/>
          <w:lang w:eastAsia="en-GB"/>
        </w:rPr>
      </w:pPr>
      <w:r>
        <w:rPr>
          <w:rFonts w:ascii="Arial" w:eastAsia="Times New Roman" w:hAnsi="Arial" w:cs="Arial"/>
          <w:sz w:val="24"/>
          <w:szCs w:val="24"/>
          <w:lang w:eastAsia="en-GB"/>
        </w:rPr>
        <w:t>The Council does not have a gender pay gap in relation to</w:t>
      </w:r>
      <w:r w:rsidR="000A6F82">
        <w:rPr>
          <w:rFonts w:ascii="Arial" w:eastAsia="Times New Roman" w:hAnsi="Arial" w:cs="Arial"/>
          <w:sz w:val="24"/>
          <w:szCs w:val="24"/>
          <w:lang w:eastAsia="en-GB"/>
        </w:rPr>
        <w:t xml:space="preserve"> basic</w:t>
      </w:r>
      <w:r>
        <w:rPr>
          <w:rFonts w:ascii="Arial" w:eastAsia="Times New Roman" w:hAnsi="Arial" w:cs="Arial"/>
          <w:sz w:val="24"/>
          <w:szCs w:val="24"/>
          <w:lang w:eastAsia="en-GB"/>
        </w:rPr>
        <w:t xml:space="preserve"> pay.</w:t>
      </w:r>
    </w:p>
    <w:p w:rsidR="0000799F" w:rsidRDefault="0000799F" w:rsidP="00E3066C">
      <w:pPr>
        <w:pStyle w:val="NoSpacing"/>
        <w:rPr>
          <w:rFonts w:ascii="Arial" w:eastAsia="Times New Roman" w:hAnsi="Arial" w:cs="Arial"/>
          <w:sz w:val="24"/>
          <w:szCs w:val="24"/>
          <w:lang w:eastAsia="en-GB"/>
        </w:rPr>
      </w:pPr>
    </w:p>
    <w:p w:rsidR="006F6777" w:rsidRDefault="007E2BAB" w:rsidP="00C343F7">
      <w:r>
        <w:rPr>
          <w:rFonts w:eastAsia="Times New Roman"/>
          <w:lang w:eastAsia="en-GB"/>
        </w:rPr>
        <w:t xml:space="preserve">There is </w:t>
      </w:r>
      <w:r w:rsidR="00EF151B">
        <w:rPr>
          <w:rFonts w:eastAsia="Times New Roman"/>
          <w:lang w:eastAsia="en-GB"/>
        </w:rPr>
        <w:t xml:space="preserve">reported </w:t>
      </w:r>
      <w:r>
        <w:rPr>
          <w:rFonts w:eastAsia="Times New Roman"/>
          <w:lang w:eastAsia="en-GB"/>
        </w:rPr>
        <w:t>pay gap in relation to Bonus. The calculations above are</w:t>
      </w:r>
      <w:r w:rsidR="00E3066C">
        <w:rPr>
          <w:rFonts w:eastAsia="Times New Roman"/>
          <w:lang w:eastAsia="en-GB"/>
        </w:rPr>
        <w:t xml:space="preserve"> in accordance with the prescribed methodology. They are </w:t>
      </w:r>
      <w:r>
        <w:rPr>
          <w:rFonts w:eastAsia="Times New Roman"/>
          <w:lang w:eastAsia="en-GB"/>
        </w:rPr>
        <w:t xml:space="preserve">not reflective of </w:t>
      </w:r>
      <w:r w:rsidR="006F6777">
        <w:rPr>
          <w:rFonts w:eastAsia="Times New Roman"/>
          <w:lang w:eastAsia="en-GB"/>
        </w:rPr>
        <w:t xml:space="preserve">actual </w:t>
      </w:r>
      <w:r>
        <w:rPr>
          <w:rFonts w:eastAsia="Times New Roman"/>
          <w:lang w:eastAsia="en-GB"/>
        </w:rPr>
        <w:t xml:space="preserve">position within the Council. </w:t>
      </w:r>
      <w:r w:rsidR="00012E6C" w:rsidRPr="00012E6C">
        <w:rPr>
          <w:rFonts w:eastAsia="Times New Roman"/>
          <w:lang w:eastAsia="en-GB"/>
        </w:rPr>
        <w:t>Bonus payments</w:t>
      </w:r>
      <w:r w:rsidR="000A6F82">
        <w:rPr>
          <w:rFonts w:eastAsia="Times New Roman"/>
          <w:lang w:eastAsia="en-GB"/>
        </w:rPr>
        <w:t xml:space="preserve"> primarily</w:t>
      </w:r>
      <w:r w:rsidR="00012E6C" w:rsidRPr="00012E6C">
        <w:rPr>
          <w:rFonts w:eastAsia="Times New Roman"/>
          <w:lang w:eastAsia="en-GB"/>
        </w:rPr>
        <w:t xml:space="preserve"> relate to annual Partnership Payments paid to eligible employees in accordance with the </w:t>
      </w:r>
      <w:r w:rsidR="0000799F">
        <w:rPr>
          <w:rFonts w:eastAsia="Times New Roman"/>
          <w:lang w:eastAsia="en-GB"/>
        </w:rPr>
        <w:t>Partnership Payment S</w:t>
      </w:r>
      <w:r w:rsidR="00012E6C" w:rsidRPr="00012E6C">
        <w:rPr>
          <w:rFonts w:eastAsia="Times New Roman"/>
          <w:lang w:eastAsia="en-GB"/>
        </w:rPr>
        <w:t>cheme arrangements</w:t>
      </w:r>
      <w:r w:rsidR="000A6F82" w:rsidRPr="000A6F82">
        <w:rPr>
          <w:rFonts w:eastAsia="Times New Roman"/>
          <w:lang w:eastAsia="en-GB"/>
        </w:rPr>
        <w:t xml:space="preserve"> </w:t>
      </w:r>
      <w:r w:rsidR="000A6F82" w:rsidRPr="00012E6C">
        <w:rPr>
          <w:rFonts w:eastAsia="Times New Roman"/>
          <w:lang w:eastAsia="en-GB"/>
        </w:rPr>
        <w:t>a</w:t>
      </w:r>
      <w:r w:rsidR="000A6F82">
        <w:rPr>
          <w:rFonts w:eastAsia="Times New Roman"/>
          <w:lang w:eastAsia="en-GB"/>
        </w:rPr>
        <w:t>nd a</w:t>
      </w:r>
      <w:r w:rsidR="000A6F82" w:rsidRPr="00012E6C">
        <w:rPr>
          <w:rFonts w:eastAsia="Times New Roman"/>
          <w:lang w:eastAsia="en-GB"/>
        </w:rPr>
        <w:t xml:space="preserve"> commission payment</w:t>
      </w:r>
      <w:r w:rsidR="00012E6C" w:rsidRPr="00012E6C">
        <w:rPr>
          <w:rFonts w:eastAsia="Times New Roman"/>
          <w:lang w:eastAsia="en-GB"/>
        </w:rPr>
        <w:t>.</w:t>
      </w:r>
      <w:r w:rsidR="006F6777" w:rsidRPr="006F6777">
        <w:t xml:space="preserve"> </w:t>
      </w:r>
    </w:p>
    <w:p w:rsidR="00C343F7" w:rsidRDefault="00C343F7" w:rsidP="00C343F7"/>
    <w:p w:rsidR="007E2BAB" w:rsidRDefault="006F6777" w:rsidP="00E3066C">
      <w:pPr>
        <w:pStyle w:val="NoSpacing"/>
        <w:rPr>
          <w:rFonts w:ascii="Arial" w:eastAsia="Times New Roman" w:hAnsi="Arial" w:cs="Arial"/>
          <w:sz w:val="24"/>
          <w:szCs w:val="24"/>
          <w:lang w:eastAsia="en-GB"/>
        </w:rPr>
      </w:pPr>
      <w:r>
        <w:rPr>
          <w:rFonts w:ascii="Arial" w:hAnsi="Arial" w:cs="Arial"/>
          <w:sz w:val="24"/>
          <w:szCs w:val="24"/>
        </w:rPr>
        <w:t>The partnership payment is a set lump sum, which is abated to working hours for part timers.</w:t>
      </w:r>
      <w:r w:rsidR="00012E6C" w:rsidRPr="00012E6C">
        <w:rPr>
          <w:rFonts w:ascii="Arial" w:eastAsia="Times New Roman" w:hAnsi="Arial" w:cs="Arial"/>
          <w:sz w:val="24"/>
          <w:szCs w:val="24"/>
          <w:lang w:eastAsia="en-GB"/>
        </w:rPr>
        <w:t xml:space="preserve"> The maximum payment under the Partnership Payment </w:t>
      </w:r>
      <w:r w:rsidRPr="00012E6C">
        <w:rPr>
          <w:rFonts w:ascii="Arial" w:eastAsia="Times New Roman" w:hAnsi="Arial" w:cs="Arial"/>
          <w:sz w:val="24"/>
          <w:szCs w:val="24"/>
          <w:lang w:eastAsia="en-GB"/>
        </w:rPr>
        <w:t xml:space="preserve">Scheme </w:t>
      </w:r>
      <w:r>
        <w:rPr>
          <w:rFonts w:ascii="Arial" w:eastAsia="Times New Roman" w:hAnsi="Arial" w:cs="Arial"/>
          <w:sz w:val="24"/>
          <w:szCs w:val="24"/>
          <w:lang w:eastAsia="en-GB"/>
        </w:rPr>
        <w:t xml:space="preserve">for a full time employee </w:t>
      </w:r>
      <w:r w:rsidR="00012E6C" w:rsidRPr="00012E6C">
        <w:rPr>
          <w:rFonts w:ascii="Arial" w:eastAsia="Times New Roman" w:hAnsi="Arial" w:cs="Arial"/>
          <w:sz w:val="24"/>
          <w:szCs w:val="24"/>
          <w:lang w:eastAsia="en-GB"/>
        </w:rPr>
        <w:t>was £500.  This scheme ends on 31</w:t>
      </w:r>
      <w:r w:rsidR="00012E6C" w:rsidRPr="00012E6C">
        <w:rPr>
          <w:rFonts w:ascii="Arial" w:eastAsia="Times New Roman" w:hAnsi="Arial" w:cs="Arial"/>
          <w:sz w:val="24"/>
          <w:szCs w:val="24"/>
          <w:vertAlign w:val="superscript"/>
          <w:lang w:eastAsia="en-GB"/>
        </w:rPr>
        <w:t>st</w:t>
      </w:r>
      <w:r w:rsidR="00012E6C" w:rsidRPr="00012E6C">
        <w:rPr>
          <w:rFonts w:ascii="Arial" w:eastAsia="Times New Roman" w:hAnsi="Arial" w:cs="Arial"/>
          <w:sz w:val="24"/>
          <w:szCs w:val="24"/>
          <w:lang w:eastAsia="en-GB"/>
        </w:rPr>
        <w:t xml:space="preserve"> March 2018, with the final payment being made in July 2018.</w:t>
      </w:r>
    </w:p>
    <w:p w:rsidR="00C343F7" w:rsidRDefault="00C343F7" w:rsidP="00E3066C">
      <w:pPr>
        <w:pStyle w:val="NoSpacing"/>
        <w:rPr>
          <w:rFonts w:ascii="Arial" w:eastAsia="Times New Roman" w:hAnsi="Arial" w:cs="Arial"/>
          <w:sz w:val="24"/>
          <w:szCs w:val="24"/>
          <w:lang w:eastAsia="en-GB"/>
        </w:rPr>
      </w:pPr>
    </w:p>
    <w:p w:rsidR="00C343F7" w:rsidRDefault="00C343F7" w:rsidP="00C343F7">
      <w:r w:rsidRPr="000A6F82">
        <w:rPr>
          <w:iCs/>
        </w:rPr>
        <w:t>The Commission Payment scheme provides a system of financial reward to eligible staff who secure new commercial contracts for Direct Services. The commission payments made to staff are determined in accordance with the scheme’s rules, and approved by a senior manager in Direct Services.</w:t>
      </w:r>
    </w:p>
    <w:p w:rsidR="007E2BAB" w:rsidRDefault="007E2BAB" w:rsidP="00E3066C">
      <w:pPr>
        <w:pStyle w:val="NoSpacing"/>
        <w:rPr>
          <w:rFonts w:ascii="Arial" w:eastAsia="Times New Roman" w:hAnsi="Arial" w:cs="Arial"/>
          <w:sz w:val="24"/>
          <w:szCs w:val="24"/>
          <w:lang w:eastAsia="en-GB"/>
        </w:rPr>
      </w:pPr>
    </w:p>
    <w:p w:rsidR="0000799F" w:rsidRDefault="006F6777" w:rsidP="00E3066C">
      <w:pPr>
        <w:pStyle w:val="NoSpacing"/>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012E6C">
        <w:rPr>
          <w:rFonts w:ascii="Arial" w:eastAsia="Times New Roman" w:hAnsi="Arial" w:cs="Arial"/>
          <w:sz w:val="24"/>
          <w:szCs w:val="24"/>
          <w:lang w:eastAsia="en-GB"/>
        </w:rPr>
        <w:t xml:space="preserve">mean gender </w:t>
      </w:r>
      <w:r w:rsidR="00EF151B">
        <w:rPr>
          <w:rFonts w:ascii="Arial" w:eastAsia="Times New Roman" w:hAnsi="Arial" w:cs="Arial"/>
          <w:sz w:val="24"/>
          <w:szCs w:val="24"/>
          <w:lang w:eastAsia="en-GB"/>
        </w:rPr>
        <w:t xml:space="preserve">bonus </w:t>
      </w:r>
      <w:r w:rsidR="00012E6C">
        <w:rPr>
          <w:rFonts w:ascii="Arial" w:eastAsia="Times New Roman" w:hAnsi="Arial" w:cs="Arial"/>
          <w:sz w:val="24"/>
          <w:szCs w:val="24"/>
          <w:lang w:eastAsia="en-GB"/>
        </w:rPr>
        <w:t>pay gap in favour of females</w:t>
      </w:r>
      <w:r>
        <w:rPr>
          <w:rFonts w:ascii="Arial" w:eastAsia="Times New Roman" w:hAnsi="Arial" w:cs="Arial"/>
          <w:sz w:val="24"/>
          <w:szCs w:val="24"/>
          <w:lang w:eastAsia="en-GB"/>
        </w:rPr>
        <w:t xml:space="preserve"> is as a result of a commission </w:t>
      </w:r>
      <w:bookmarkStart w:id="0" w:name="_GoBack"/>
      <w:bookmarkEnd w:id="0"/>
      <w:r>
        <w:rPr>
          <w:rFonts w:ascii="Arial" w:eastAsia="Times New Roman" w:hAnsi="Arial" w:cs="Arial"/>
          <w:sz w:val="24"/>
          <w:szCs w:val="24"/>
          <w:lang w:eastAsia="en-GB"/>
        </w:rPr>
        <w:t xml:space="preserve">payment </w:t>
      </w:r>
      <w:r w:rsidR="00EF151B">
        <w:rPr>
          <w:rFonts w:ascii="Arial" w:eastAsia="Times New Roman" w:hAnsi="Arial" w:cs="Arial"/>
          <w:sz w:val="24"/>
          <w:szCs w:val="24"/>
          <w:lang w:eastAsia="en-GB"/>
        </w:rPr>
        <w:t>to</w:t>
      </w:r>
      <w:r>
        <w:rPr>
          <w:rFonts w:ascii="Arial" w:eastAsia="Times New Roman" w:hAnsi="Arial" w:cs="Arial"/>
          <w:sz w:val="24"/>
          <w:szCs w:val="24"/>
          <w:lang w:eastAsia="en-GB"/>
        </w:rPr>
        <w:t xml:space="preserve"> one female</w:t>
      </w:r>
      <w:r w:rsidR="00E3066C">
        <w:rPr>
          <w:rFonts w:ascii="Arial" w:eastAsia="Times New Roman" w:hAnsi="Arial" w:cs="Arial"/>
          <w:sz w:val="24"/>
          <w:szCs w:val="24"/>
          <w:lang w:eastAsia="en-GB"/>
        </w:rPr>
        <w:t xml:space="preserve"> member of staff</w:t>
      </w:r>
      <w:r>
        <w:rPr>
          <w:rFonts w:ascii="Arial" w:eastAsia="Times New Roman" w:hAnsi="Arial" w:cs="Arial"/>
          <w:sz w:val="24"/>
          <w:szCs w:val="24"/>
          <w:lang w:eastAsia="en-GB"/>
        </w:rPr>
        <w:t>.</w:t>
      </w:r>
    </w:p>
    <w:p w:rsidR="006F6777" w:rsidRDefault="006F6777" w:rsidP="00E3066C">
      <w:pPr>
        <w:pStyle w:val="NoSpacing"/>
        <w:rPr>
          <w:rFonts w:ascii="Arial" w:eastAsia="Times New Roman" w:hAnsi="Arial" w:cs="Arial"/>
          <w:sz w:val="24"/>
          <w:szCs w:val="24"/>
          <w:lang w:eastAsia="en-GB"/>
        </w:rPr>
      </w:pPr>
    </w:p>
    <w:p w:rsidR="0000799F" w:rsidRDefault="006F6777" w:rsidP="00E3066C">
      <w:pPr>
        <w:pStyle w:val="NoSpacing"/>
        <w:rPr>
          <w:rFonts w:ascii="Arial" w:hAnsi="Arial" w:cs="Arial"/>
          <w:sz w:val="24"/>
          <w:szCs w:val="24"/>
        </w:rPr>
      </w:pPr>
      <w:r>
        <w:rPr>
          <w:rFonts w:ascii="Arial" w:hAnsi="Arial" w:cs="Arial"/>
          <w:sz w:val="24"/>
          <w:szCs w:val="24"/>
        </w:rPr>
        <w:t>The median gender</w:t>
      </w:r>
      <w:r w:rsidR="00EF151B">
        <w:rPr>
          <w:rFonts w:ascii="Arial" w:hAnsi="Arial" w:cs="Arial"/>
          <w:sz w:val="24"/>
          <w:szCs w:val="24"/>
        </w:rPr>
        <w:t xml:space="preserve"> bonus</w:t>
      </w:r>
      <w:r>
        <w:rPr>
          <w:rFonts w:ascii="Arial" w:hAnsi="Arial" w:cs="Arial"/>
          <w:sz w:val="24"/>
          <w:szCs w:val="24"/>
        </w:rPr>
        <w:t xml:space="preserve"> pay gap is a reflection of the</w:t>
      </w:r>
      <w:r w:rsidR="001E39D8">
        <w:rPr>
          <w:rFonts w:ascii="Arial" w:hAnsi="Arial" w:cs="Arial"/>
          <w:sz w:val="24"/>
          <w:szCs w:val="24"/>
        </w:rPr>
        <w:t xml:space="preserve"> make-up of the</w:t>
      </w:r>
      <w:r>
        <w:rPr>
          <w:rFonts w:ascii="Arial" w:hAnsi="Arial" w:cs="Arial"/>
          <w:sz w:val="24"/>
          <w:szCs w:val="24"/>
        </w:rPr>
        <w:t xml:space="preserve"> workforce. The median male employee </w:t>
      </w:r>
      <w:r w:rsidR="001E39D8">
        <w:rPr>
          <w:rFonts w:ascii="Arial" w:hAnsi="Arial" w:cs="Arial"/>
          <w:sz w:val="24"/>
          <w:szCs w:val="24"/>
        </w:rPr>
        <w:t>is</w:t>
      </w:r>
      <w:r>
        <w:rPr>
          <w:rFonts w:ascii="Arial" w:hAnsi="Arial" w:cs="Arial"/>
          <w:sz w:val="24"/>
          <w:szCs w:val="24"/>
        </w:rPr>
        <w:t xml:space="preserve"> full time as the male workforce is predominantly full time and the median female employee </w:t>
      </w:r>
      <w:r w:rsidR="001E39D8">
        <w:rPr>
          <w:rFonts w:ascii="Arial" w:hAnsi="Arial" w:cs="Arial"/>
          <w:sz w:val="24"/>
          <w:szCs w:val="24"/>
        </w:rPr>
        <w:t>is</w:t>
      </w:r>
      <w:r>
        <w:rPr>
          <w:rFonts w:ascii="Arial" w:hAnsi="Arial" w:cs="Arial"/>
          <w:sz w:val="24"/>
          <w:szCs w:val="24"/>
        </w:rPr>
        <w:t xml:space="preserve"> part time as the female workforce has a significant number of part timers. </w:t>
      </w:r>
      <w:r w:rsidR="001E39D8">
        <w:rPr>
          <w:rFonts w:ascii="Arial" w:hAnsi="Arial" w:cs="Arial"/>
          <w:sz w:val="24"/>
          <w:szCs w:val="24"/>
        </w:rPr>
        <w:t>The mean p</w:t>
      </w:r>
      <w:r>
        <w:rPr>
          <w:rFonts w:ascii="Arial" w:hAnsi="Arial" w:cs="Arial"/>
          <w:sz w:val="24"/>
          <w:szCs w:val="24"/>
        </w:rPr>
        <w:t>ay gap</w:t>
      </w:r>
      <w:r w:rsidR="001E39D8">
        <w:rPr>
          <w:rFonts w:ascii="Arial" w:hAnsi="Arial" w:cs="Arial"/>
          <w:sz w:val="24"/>
          <w:szCs w:val="24"/>
        </w:rPr>
        <w:t xml:space="preserve"> for the Partnership Payment</w:t>
      </w:r>
      <w:r>
        <w:rPr>
          <w:rFonts w:ascii="Arial" w:hAnsi="Arial" w:cs="Arial"/>
          <w:sz w:val="24"/>
          <w:szCs w:val="24"/>
        </w:rPr>
        <w:t xml:space="preserve"> </w:t>
      </w:r>
      <w:r w:rsidR="001E39D8">
        <w:rPr>
          <w:rFonts w:ascii="Arial" w:hAnsi="Arial" w:cs="Arial"/>
          <w:sz w:val="24"/>
          <w:szCs w:val="24"/>
        </w:rPr>
        <w:t>based</w:t>
      </w:r>
      <w:r w:rsidR="00E3066C">
        <w:rPr>
          <w:rFonts w:ascii="Arial" w:hAnsi="Arial" w:cs="Arial"/>
          <w:sz w:val="24"/>
          <w:szCs w:val="24"/>
        </w:rPr>
        <w:t xml:space="preserve"> on</w:t>
      </w:r>
      <w:r w:rsidR="001E39D8">
        <w:rPr>
          <w:rFonts w:ascii="Arial" w:hAnsi="Arial" w:cs="Arial"/>
          <w:sz w:val="24"/>
          <w:szCs w:val="24"/>
        </w:rPr>
        <w:t xml:space="preserve"> full time equivalent payments is -4.1%</w:t>
      </w:r>
      <w:r>
        <w:rPr>
          <w:rFonts w:ascii="Arial" w:hAnsi="Arial" w:cs="Arial"/>
          <w:sz w:val="24"/>
          <w:szCs w:val="24"/>
        </w:rPr>
        <w:t xml:space="preserve"> </w:t>
      </w:r>
      <w:r w:rsidR="001E39D8">
        <w:rPr>
          <w:rFonts w:ascii="Arial" w:hAnsi="Arial" w:cs="Arial"/>
          <w:sz w:val="24"/>
          <w:szCs w:val="24"/>
        </w:rPr>
        <w:t>(in favour of females) and the median gender pay gap is zero.</w:t>
      </w:r>
    </w:p>
    <w:sectPr w:rsidR="0000799F" w:rsidSect="00A72C81">
      <w:headerReference w:type="first" r:id="rId8"/>
      <w:pgSz w:w="11906" w:h="16838"/>
      <w:pgMar w:top="1560"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81" w:rsidRDefault="00A72C81" w:rsidP="00A72C81">
      <w:r>
        <w:separator/>
      </w:r>
    </w:p>
  </w:endnote>
  <w:endnote w:type="continuationSeparator" w:id="0">
    <w:p w:rsidR="00A72C81" w:rsidRDefault="00A72C81" w:rsidP="00A7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81" w:rsidRDefault="00A72C81" w:rsidP="00A72C81">
      <w:r>
        <w:separator/>
      </w:r>
    </w:p>
  </w:footnote>
  <w:footnote w:type="continuationSeparator" w:id="0">
    <w:p w:rsidR="00A72C81" w:rsidRDefault="00A72C81" w:rsidP="00A72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81" w:rsidRPr="009E6AE9" w:rsidRDefault="00A72C81" w:rsidP="00A72C81">
    <w:pPr>
      <w:pStyle w:val="Header"/>
      <w:jc w:val="right"/>
      <w:rPr>
        <w:b/>
      </w:rPr>
    </w:pPr>
    <w:r>
      <w:rPr>
        <w:b/>
      </w:rPr>
      <w:t>Appendix 3</w:t>
    </w:r>
  </w:p>
  <w:p w:rsidR="00A72C81" w:rsidRDefault="00A72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A82"/>
    <w:multiLevelType w:val="hybridMultilevel"/>
    <w:tmpl w:val="F00A38A0"/>
    <w:lvl w:ilvl="0" w:tplc="B44A0FEA">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A0297"/>
    <w:multiLevelType w:val="hybridMultilevel"/>
    <w:tmpl w:val="375E8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6C"/>
    <w:rsid w:val="0000799F"/>
    <w:rsid w:val="00012E6C"/>
    <w:rsid w:val="000A6F82"/>
    <w:rsid w:val="001E39D8"/>
    <w:rsid w:val="002125C0"/>
    <w:rsid w:val="00476A1A"/>
    <w:rsid w:val="00540328"/>
    <w:rsid w:val="006F6777"/>
    <w:rsid w:val="007E2BAB"/>
    <w:rsid w:val="00957920"/>
    <w:rsid w:val="00A72C81"/>
    <w:rsid w:val="00C31897"/>
    <w:rsid w:val="00C343F7"/>
    <w:rsid w:val="00CE3C90"/>
    <w:rsid w:val="00E3066C"/>
    <w:rsid w:val="00EF151B"/>
    <w:rsid w:val="00F81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82"/>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2E6C"/>
    <w:pPr>
      <w:spacing w:after="0" w:line="240" w:lineRule="auto"/>
    </w:pPr>
  </w:style>
  <w:style w:type="paragraph" w:styleId="Header">
    <w:name w:val="header"/>
    <w:basedOn w:val="Normal"/>
    <w:link w:val="HeaderChar"/>
    <w:uiPriority w:val="99"/>
    <w:unhideWhenUsed/>
    <w:rsid w:val="00A72C81"/>
    <w:pPr>
      <w:tabs>
        <w:tab w:val="center" w:pos="4513"/>
        <w:tab w:val="right" w:pos="9026"/>
      </w:tabs>
    </w:pPr>
  </w:style>
  <w:style w:type="character" w:customStyle="1" w:styleId="HeaderChar">
    <w:name w:val="Header Char"/>
    <w:basedOn w:val="DefaultParagraphFont"/>
    <w:link w:val="Header"/>
    <w:uiPriority w:val="99"/>
    <w:rsid w:val="00A72C81"/>
    <w:rPr>
      <w:rFonts w:ascii="Arial" w:hAnsi="Arial" w:cs="Arial"/>
      <w:sz w:val="24"/>
      <w:szCs w:val="24"/>
    </w:rPr>
  </w:style>
  <w:style w:type="paragraph" w:styleId="Footer">
    <w:name w:val="footer"/>
    <w:basedOn w:val="Normal"/>
    <w:link w:val="FooterChar"/>
    <w:uiPriority w:val="99"/>
    <w:unhideWhenUsed/>
    <w:rsid w:val="00A72C81"/>
    <w:pPr>
      <w:tabs>
        <w:tab w:val="center" w:pos="4513"/>
        <w:tab w:val="right" w:pos="9026"/>
      </w:tabs>
    </w:pPr>
  </w:style>
  <w:style w:type="character" w:customStyle="1" w:styleId="FooterChar">
    <w:name w:val="Footer Char"/>
    <w:basedOn w:val="DefaultParagraphFont"/>
    <w:link w:val="Footer"/>
    <w:uiPriority w:val="99"/>
    <w:rsid w:val="00A72C8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82"/>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2E6C"/>
    <w:pPr>
      <w:spacing w:after="0" w:line="240" w:lineRule="auto"/>
    </w:pPr>
  </w:style>
  <w:style w:type="paragraph" w:styleId="Header">
    <w:name w:val="header"/>
    <w:basedOn w:val="Normal"/>
    <w:link w:val="HeaderChar"/>
    <w:uiPriority w:val="99"/>
    <w:unhideWhenUsed/>
    <w:rsid w:val="00A72C81"/>
    <w:pPr>
      <w:tabs>
        <w:tab w:val="center" w:pos="4513"/>
        <w:tab w:val="right" w:pos="9026"/>
      </w:tabs>
    </w:pPr>
  </w:style>
  <w:style w:type="character" w:customStyle="1" w:styleId="HeaderChar">
    <w:name w:val="Header Char"/>
    <w:basedOn w:val="DefaultParagraphFont"/>
    <w:link w:val="Header"/>
    <w:uiPriority w:val="99"/>
    <w:rsid w:val="00A72C81"/>
    <w:rPr>
      <w:rFonts w:ascii="Arial" w:hAnsi="Arial" w:cs="Arial"/>
      <w:sz w:val="24"/>
      <w:szCs w:val="24"/>
    </w:rPr>
  </w:style>
  <w:style w:type="paragraph" w:styleId="Footer">
    <w:name w:val="footer"/>
    <w:basedOn w:val="Normal"/>
    <w:link w:val="FooterChar"/>
    <w:uiPriority w:val="99"/>
    <w:unhideWhenUsed/>
    <w:rsid w:val="00A72C81"/>
    <w:pPr>
      <w:tabs>
        <w:tab w:val="center" w:pos="4513"/>
        <w:tab w:val="right" w:pos="9026"/>
      </w:tabs>
    </w:pPr>
  </w:style>
  <w:style w:type="character" w:customStyle="1" w:styleId="FooterChar">
    <w:name w:val="Footer Char"/>
    <w:basedOn w:val="DefaultParagraphFont"/>
    <w:link w:val="Footer"/>
    <w:uiPriority w:val="99"/>
    <w:rsid w:val="00A72C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AB3C464</Template>
  <TotalTime>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abowman</dc:creator>
  <cp:lastModifiedBy>jthompson</cp:lastModifiedBy>
  <cp:revision>6</cp:revision>
  <cp:lastPrinted>2018-03-22T16:05:00Z</cp:lastPrinted>
  <dcterms:created xsi:type="dcterms:W3CDTF">2018-03-22T16:03:00Z</dcterms:created>
  <dcterms:modified xsi:type="dcterms:W3CDTF">2018-04-13T10:04:00Z</dcterms:modified>
</cp:coreProperties>
</file>